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2FD" w:rsidRDefault="006D12FD" w:rsidP="006D12FD">
      <w:pPr>
        <w:jc w:val="both"/>
        <w:rPr>
          <w:rFonts w:ascii="Palatino Linotype" w:hAnsi="Palatino Linotype"/>
          <w:sz w:val="28"/>
          <w:szCs w:val="28"/>
        </w:rPr>
      </w:pPr>
      <w:r>
        <w:rPr>
          <w:rFonts w:ascii="Palatino Linotype" w:hAnsi="Palatino Linotype"/>
          <w:sz w:val="28"/>
          <w:szCs w:val="28"/>
        </w:rPr>
        <w:t>RISERVE</w:t>
      </w:r>
    </w:p>
    <w:p w:rsidR="006D12FD" w:rsidRDefault="006D12FD" w:rsidP="006D12FD">
      <w:pPr>
        <w:jc w:val="both"/>
        <w:rPr>
          <w:rFonts w:ascii="Palatino Linotype" w:hAnsi="Palatino Linotype"/>
          <w:sz w:val="28"/>
          <w:szCs w:val="28"/>
        </w:rPr>
      </w:pPr>
    </w:p>
    <w:p w:rsidR="006D12FD" w:rsidRPr="006D12FD" w:rsidRDefault="006D12FD" w:rsidP="006D12FD">
      <w:pPr>
        <w:jc w:val="both"/>
        <w:rPr>
          <w:rFonts w:ascii="Palatino Linotype" w:hAnsi="Palatino Linotype"/>
          <w:sz w:val="28"/>
          <w:szCs w:val="28"/>
        </w:rPr>
      </w:pPr>
      <w:r w:rsidRPr="006D12FD">
        <w:rPr>
          <w:rFonts w:ascii="Palatino Linotype" w:hAnsi="Palatino Linotype"/>
          <w:sz w:val="28"/>
          <w:szCs w:val="28"/>
        </w:rPr>
        <w:t>Il Giudice pone i seguenti quesiti:</w:t>
      </w:r>
    </w:p>
    <w:p w:rsidR="006D12FD" w:rsidRPr="006D12FD" w:rsidRDefault="006D12FD" w:rsidP="006D12FD">
      <w:pPr>
        <w:jc w:val="both"/>
        <w:rPr>
          <w:rFonts w:ascii="Palatino Linotype" w:hAnsi="Palatino Linotype"/>
          <w:sz w:val="28"/>
          <w:szCs w:val="28"/>
        </w:rPr>
      </w:pPr>
      <w:r w:rsidRPr="006D12FD">
        <w:rPr>
          <w:rFonts w:ascii="Palatino Linotype" w:hAnsi="Palatino Linotype"/>
          <w:sz w:val="28"/>
          <w:szCs w:val="28"/>
        </w:rPr>
        <w:t xml:space="preserve">“1. </w:t>
      </w:r>
      <w:proofErr w:type="gramStart"/>
      <w:r w:rsidRPr="006D12FD">
        <w:rPr>
          <w:rFonts w:ascii="Palatino Linotype" w:hAnsi="Palatino Linotype"/>
          <w:sz w:val="28"/>
          <w:szCs w:val="28"/>
        </w:rPr>
        <w:t>accerti</w:t>
      </w:r>
      <w:proofErr w:type="gramEnd"/>
      <w:r w:rsidRPr="006D12FD">
        <w:rPr>
          <w:rFonts w:ascii="Palatino Linotype" w:hAnsi="Palatino Linotype"/>
          <w:sz w:val="28"/>
          <w:szCs w:val="28"/>
        </w:rPr>
        <w:t xml:space="preserve"> il </w:t>
      </w:r>
      <w:proofErr w:type="spellStart"/>
      <w:r w:rsidRPr="006D12FD">
        <w:rPr>
          <w:rFonts w:ascii="Palatino Linotype" w:hAnsi="Palatino Linotype"/>
          <w:sz w:val="28"/>
          <w:szCs w:val="28"/>
        </w:rPr>
        <w:t>ctu</w:t>
      </w:r>
      <w:proofErr w:type="spellEnd"/>
      <w:r w:rsidRPr="006D12FD">
        <w:rPr>
          <w:rFonts w:ascii="Palatino Linotype" w:hAnsi="Palatino Linotype"/>
          <w:sz w:val="28"/>
          <w:szCs w:val="28"/>
        </w:rPr>
        <w:t xml:space="preserve">  - previo esame della documentazione in atti, degli esiti della disposta </w:t>
      </w:r>
      <w:proofErr w:type="spellStart"/>
      <w:r w:rsidRPr="006D12FD">
        <w:rPr>
          <w:rFonts w:ascii="Palatino Linotype" w:hAnsi="Palatino Linotype"/>
          <w:sz w:val="28"/>
          <w:szCs w:val="28"/>
        </w:rPr>
        <w:t>a.t.p</w:t>
      </w:r>
      <w:proofErr w:type="spellEnd"/>
      <w:r w:rsidRPr="006D12FD">
        <w:rPr>
          <w:rFonts w:ascii="Palatino Linotype" w:hAnsi="Palatino Linotype"/>
          <w:sz w:val="28"/>
          <w:szCs w:val="28"/>
        </w:rPr>
        <w:t>. e degli atti di progetto oggetto di istanza di esibizione di parte attrice, alla cui consultazione autorizza il nominando tecnico, nonché previo sopralluogo e valutazione degli esiti dell’ammessa prova per testi - la tempestività e la congruità delle riserve iscritte in contabilità per maggiori oneri incontrati dall’impresa nel dare esecuzione all’appalto nonché per restituzioni somme trattenute;</w:t>
      </w:r>
    </w:p>
    <w:p w:rsidR="006D12FD" w:rsidRPr="006D12FD" w:rsidRDefault="006D12FD" w:rsidP="006D12FD">
      <w:pPr>
        <w:jc w:val="both"/>
        <w:rPr>
          <w:rFonts w:ascii="Palatino Linotype" w:hAnsi="Palatino Linotype"/>
          <w:sz w:val="28"/>
          <w:szCs w:val="28"/>
        </w:rPr>
      </w:pPr>
      <w:r w:rsidRPr="006D12FD">
        <w:rPr>
          <w:rFonts w:ascii="Palatino Linotype" w:hAnsi="Palatino Linotype"/>
          <w:sz w:val="28"/>
          <w:szCs w:val="28"/>
        </w:rPr>
        <w:t>2. accerti, ove verificata l’intempestività delle prime (risultando il tema della tardività delle riserve tempestivamente introdotto in lite da controparte, p. 48 comparsa di costituzione e risposta), la congruità delle voci di danno fatte valere altresì dall’attrice in ragione di un lamentato, per le vicende che hanno determinato la parte alle richieste iscritte in contabilità, anomalo andamento dei lavori commessi;</w:t>
      </w:r>
    </w:p>
    <w:p w:rsidR="006D12FD" w:rsidRDefault="006D12FD" w:rsidP="006D12FD">
      <w:pPr>
        <w:jc w:val="both"/>
        <w:rPr>
          <w:rFonts w:ascii="Palatino Linotype" w:hAnsi="Palatino Linotype"/>
          <w:sz w:val="28"/>
          <w:szCs w:val="28"/>
        </w:rPr>
      </w:pPr>
      <w:r w:rsidRPr="006D12FD">
        <w:rPr>
          <w:rFonts w:ascii="Palatino Linotype" w:hAnsi="Palatino Linotype"/>
          <w:sz w:val="28"/>
          <w:szCs w:val="28"/>
        </w:rPr>
        <w:t xml:space="preserve">3. valuti altresì per le indicate fonti se l’indicato andamento abbia invece rinvenuto la propria causa nella condotta della medesima impresa appaltatrice quanto a ritardi produzione e fermo lavori, mancati pagamenti dei subappaltatori e delle maestranze provvedendo in tal caso a dare stimare per i richiesti termini di congruità le voci di danno fatte valere in riconvenzionale dalla </w:t>
      </w:r>
      <w:proofErr w:type="gramStart"/>
      <w:r w:rsidRPr="006D12FD">
        <w:rPr>
          <w:rFonts w:ascii="Palatino Linotype" w:hAnsi="Palatino Linotype"/>
          <w:sz w:val="28"/>
          <w:szCs w:val="28"/>
        </w:rPr>
        <w:t>convenuta ”</w:t>
      </w:r>
      <w:proofErr w:type="gramEnd"/>
    </w:p>
    <w:p w:rsidR="006D12FD" w:rsidRDefault="006D12FD" w:rsidP="006D12FD">
      <w:pPr>
        <w:jc w:val="both"/>
        <w:rPr>
          <w:rFonts w:ascii="Palatino Linotype" w:hAnsi="Palatino Linotype"/>
          <w:sz w:val="28"/>
          <w:szCs w:val="28"/>
        </w:rPr>
      </w:pPr>
    </w:p>
    <w:p w:rsidR="006D12FD" w:rsidRDefault="006D12FD" w:rsidP="006D12FD">
      <w:pPr>
        <w:jc w:val="both"/>
        <w:rPr>
          <w:rFonts w:ascii="Palatino Linotype" w:hAnsi="Palatino Linotype"/>
          <w:sz w:val="28"/>
          <w:szCs w:val="28"/>
        </w:rPr>
      </w:pPr>
      <w:bookmarkStart w:id="0" w:name="_GoBack"/>
      <w:bookmarkEnd w:id="0"/>
    </w:p>
    <w:sectPr w:rsidR="006D12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27C7AB4-B54F-4B8C-ABCB-51748D716CC4}"/>
    <w:docVar w:name="dgnword-eventsink" w:val="175688720"/>
  </w:docVars>
  <w:rsids>
    <w:rsidRoot w:val="00795233"/>
    <w:rsid w:val="006D12FD"/>
    <w:rsid w:val="00746C6F"/>
    <w:rsid w:val="00795233"/>
    <w:rsid w:val="00F13A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3D671-32DD-46DF-89DF-25BBCD87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12F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Min. Giustizia</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Gandini</dc:creator>
  <cp:keywords/>
  <dc:description/>
  <cp:lastModifiedBy>Fabrizio Gandini</cp:lastModifiedBy>
  <cp:revision>2</cp:revision>
  <dcterms:created xsi:type="dcterms:W3CDTF">2018-05-16T14:13:00Z</dcterms:created>
  <dcterms:modified xsi:type="dcterms:W3CDTF">2018-05-16T14:13:00Z</dcterms:modified>
</cp:coreProperties>
</file>